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Title"/>
      </w:pPr>
      <w:r>
        <w:rPr>
          <w:i/>
        </w:rPr>
        <w:t xml:space="preserve">Sejalke</w:t>
      </w:r>
    </w:p>
    <w:p>
      <w:pPr>
        <w:pStyle w:val="Heading1"/>
      </w:pPr>
      <w:r>
        <w:t xml:space="preserve">DESCRIPTION</w:t>
      </w:r>
    </w:p>
    <w:p>
      <w:r>
        <w:t xml:space="preserve">The Sejalke project is conceived as a strategic approach to raising ecological awareness among the stakeholders involved in the radical sound walking festival</w:t>
      </w:r>
      <w:r>
        <w:rPr>
          <w:i/>
        </w:rPr>
        <w:t xml:space="preserve"> TO)pot</w:t>
      </w:r>
      <w:r>
        <w:t xml:space="preserve">. The aim is to explore how festivals like </w:t>
      </w:r>
      <w:r>
        <w:rPr>
          <w:i/>
        </w:rPr>
        <w:t xml:space="preserve">TO)pot</w:t>
      </w:r>
      <w:r>
        <w:t xml:space="preserve"> can become models of sustainable organization, with art as a means of addressing environmental challenges and encouraging sustainable practices. The project includes key activities such as environmental impact measurement, a strategic document, carbon and material footprint analyses, and awareness-raising events for the public.</w:t>
      </w:r>
    </w:p>
    <w:p>
      <w:pPr>
        <w:pStyle w:val="Heading1"/>
      </w:pPr>
      <w:r>
        <w:t xml:space="preserve">PROJECT ACTIVITIES</w:t>
      </w:r>
    </w:p>
    <w:p>
      <w:r>
        <w:t xml:space="preserve">Development of the strategic document </w:t>
      </w:r>
      <w:r>
        <w:rPr>
          <w:i/>
        </w:rPr>
        <w:t xml:space="preserve">Sejalke</w:t>
      </w:r>
      <w:r>
        <w:t xml:space="preserve"> (PDF). Measurement of the carbon footprint of TO)pot festival in 2024 (read the analysis for 2024 in Slovene). Measurement of the carbon footprint of TO)pot festival and CENSE symposium in 2025 (read the analysis for 2025 in Slovene). Analysis of existing policies for reducing noise pollution (read the analysis in Slovene). Awareness-raising activities targeting key audiences and promotional efforts (keynote speach by Madina Tlostanova: </w:t>
      </w:r>
      <w:r>
        <w:rPr>
          <w:i/>
        </w:rPr>
        <w:t xml:space="preserve">(De)coloniality of Sensing</w:t>
      </w:r>
      <w:r>
        <w:t xml:space="preserve"> and Green Corner at the </w:t>
      </w:r>
      <w:r>
        <w:rPr>
          <w:i/>
        </w:rPr>
        <w:t xml:space="preserve">TO)pot</w:t>
      </w:r>
      <w:r>
        <w:t xml:space="preserve">festival). Project evalvation (PDF in Slovene)</w:t>
      </w:r>
    </w:p>
    <w:p>
      <w:pPr>
        <w:pStyle w:val="Heading1"/>
      </w:pPr>
      <w:r>
        <w:t xml:space="preserve">MEASUREMENT OF THE CARBON FOOTPRINT OF THE TO)POT FESTIVAL</w:t>
      </w:r>
    </w:p>
    <w:p>
      <w:r>
        <w:rPr>
          <w:b/>
        </w:rPr>
        <w:t xml:space="preserve">Measurements in 2024</w:t>
      </w:r>
    </w:p>
    <w:p>
      <w:r>
        <w:rPr>
          <w:i/>
        </w:rPr>
        <w:t xml:space="preserve">TO)pot</w:t>
      </w:r>
      <w:r>
        <w:t xml:space="preserve"> festival The carbon footprint analysis of the </w:t>
      </w:r>
      <w:r>
        <w:rPr>
          <w:i/>
        </w:rPr>
        <w:t xml:space="preserve">TO)pot</w:t>
      </w:r>
      <w:r>
        <w:t xml:space="preserve"> festival in 2024 showed that the festival generated approximately </w:t>
      </w:r>
      <w:r>
        <w:rPr>
          <w:b/>
        </w:rPr>
        <w:t xml:space="preserve">1.36 tons of CO₂e</w:t>
      </w:r>
      <w:r>
        <w:t xml:space="preserve">, primarily due to transport (0.5 t CO₂e) and material purchases (0.8 t CO₂e). The festival’s material footprint amounted to 338,000 kg, with transportation representing the largest share (304,000 kg). </w:t>
      </w:r>
    </w:p>
    <w:p>
      <w:r>
        <w:rPr>
          <w:b/>
        </w:rPr>
        <w:t xml:space="preserve">Measurements in 2025</w:t>
      </w:r>
    </w:p>
    <w:p>
      <w:r>
        <w:rPr>
          <w:i/>
        </w:rPr>
        <w:t xml:space="preserve">TO)pot</w:t>
      </w:r>
      <w:r>
        <w:t xml:space="preserve"> festival The carbon footprint analysis of the </w:t>
      </w:r>
      <w:r>
        <w:rPr>
          <w:i/>
        </w:rPr>
        <w:t xml:space="preserve">TO)pot</w:t>
      </w:r>
      <w:r>
        <w:t xml:space="preserve"> festival in 2025 showed that the festival generated approximately </w:t>
      </w:r>
      <w:r>
        <w:rPr>
          <w:b/>
        </w:rPr>
        <w:t xml:space="preserve">1.45–1.6 tonnes of CO₂e emissions</w:t>
      </w:r>
      <w:r>
        <w:t xml:space="preserve">, mainly due to transport (1.15 t CO₂e) and material purchases (0.2 t CO₂e). The material footprint of the festival amounts to around 130,000 kg, with transport (40,000 kg) representing the largest share. </w:t>
      </w:r>
      <w:r>
        <w:rPr>
          <w:i/>
        </w:rPr>
        <w:t xml:space="preserve">TO)pot</w:t>
      </w:r>
      <w:r>
        <w:t xml:space="preserve"> festival and the CENSE Symposium The carbon footprint analysis of the </w:t>
      </w:r>
      <w:r>
        <w:rPr>
          <w:i/>
        </w:rPr>
        <w:t xml:space="preserve">TO)pot</w:t>
      </w:r>
      <w:r>
        <w:t xml:space="preserve"> festival and the Central European Network for Sonic Ecologies symposium </w:t>
      </w:r>
      <w:r>
        <w:rPr>
          <w:i/>
        </w:rPr>
        <w:t xml:space="preserve">Beyond Listening 2025</w:t>
      </w:r>
      <w:r>
        <w:t xml:space="preserve"> showed that together they generated approximately </w:t>
      </w:r>
      <w:r>
        <w:rPr>
          <w:b/>
        </w:rPr>
        <w:t xml:space="preserve">10.5–11.48 tonnes of CO₂e emissions</w:t>
      </w:r>
      <w:r>
        <w:t xml:space="preserve">, mainly due to transport and deliveries (11 t CO₂e) and purchases and materials (0.35 t CO₂e). The material footprint of the combined activity amounts to 288,000 kg, with transport (112,000 kg) and energy consumption (114,000 kg) representing the largest shares. The higher carbon footprint compared to the festival’s individual measurement is due to the CENSE network attracting a significantly larger number of international participants, which resulted in longer travel distances and consequently a greater impact of transportation on the total emissions.</w:t>
      </w:r>
    </w:p>
    <w:p>
      <w:pPr>
        <w:pStyle w:val="Heading1"/>
      </w:pPr>
      <w:r>
        <w:t xml:space="preserve">COLOPHON</w:t>
      </w:r>
    </w:p>
    <w:p>
      <w:r>
        <w:rPr>
          <w:b/>
        </w:rPr>
        <w:t xml:space="preserve">Funders: </w:t>
      </w:r>
      <w:r>
        <w:t xml:space="preserve">The </w:t>
      </w:r>
      <w:r>
        <w:rPr>
          <w:i/>
        </w:rPr>
        <w:t xml:space="preserve">Sejalke</w:t>
      </w:r>
      <w:r>
        <w:t xml:space="preserve"> project is co-financed by the Ministry of Culture of the Republic of Slovenia from the </w:t>
      </w:r>
      <w:r>
        <w:rPr>
          <w:i/>
        </w:rPr>
        <w:t xml:space="preserve">Climate Change Fund</w:t>
      </w:r>
      <w:r>
        <w:t xml:space="preserve">.</w:t>
      </w:r>
    </w:p>
    <w:p>
      <w:pPr>
        <w:spacing w:before="120" w:after="120"/>
      </w:pPr>
      <w:r>
        <w:drawing>
          <wp:inline distT="0" distB="0" distL="0" distR="0">
            <wp:extent cx="5943600" cy="1071860"/>
            <wp:docPr id="2" name="CONA banner"/>
            <a:graphic>
              <a:graphicData uri="http://schemas.openxmlformats.org/drawingml/2006/picture">
                <pic:pic>
                  <pic:nvPicPr>
                    <pic:cNvPr id="2" name="CONA banner"/>
                    <pic:cNvPicPr/>
                  </pic:nvPicPr>
                  <pic:blipFill>
                    <a:blip r:embed="rIdBanner"/>
                    <a:stretch>
                      <a:fillRect/>
                    </a:stretch>
                  </pic:blipFill>
                  <pic:spPr>
                    <a:xfrm>
                      <a:off x="0" y="0"/>
                      <a:ext cx="5943600" cy="1071860"/>
                    </a:xfrm>
                    <a:prstGeom prst="rect">
                      <a:avLst/>
                    </a:prstGeom>
                  </pic:spPr>
                </pic:pic>
              </a:graphicData>
            </a:graphic>
          </wp:inline>
        </w:drawing>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 Id="rIdBanner" Type="http://schemas.openxmlformats.org/officeDocument/2006/relationships/image" Target="media/banner.jpg"/></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