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Amanda Gutiérrez</w:t>
      </w:r>
    </w:p>
    <w:p>
      <w:pPr>
        <w:pStyle w:val="Title"/>
      </w:pPr>
      <w:r>
        <w:t xml:space="preserve">Listening / Speaking in Tongues</w:t>
      </w:r>
    </w:p>
    <w:p>
      <w:pPr>
        <w:pStyle w:val="Heading1"/>
      </w:pPr>
      <w:r>
        <w:t xml:space="preserve">WORK DESCRIPTION</w:t>
      </w:r>
    </w:p>
    <w:p>
      <w:r>
        <w:t xml:space="preserve">The soundwalk integrates the poetic dimension of Gloria Anzaldúa’s literature, weaving significant connections with mestizo and Chicana subjectivity articulated through the concepts of transfronterizo and borderlands. These notions are situated within spaces of invisible, unnatural borders and continuous crossings, inhabited by those who challenge or confront the boundaries of normalized binarity.</w:t>
      </w:r>
    </w:p>
    <w:p>
      <w:r>
        <w:t xml:space="preserve">The work departs from a sound score that addresses otherness as a consequence of migration, queer identity and constant movement across borders, languages and cultures. It reflects site-specific acoustic ecologies alongside the symbolic dimensions of Anzaldúa’s poetry.</w:t>
      </w:r>
    </w:p>
    <w:p>
      <w:pPr>
        <w:pStyle w:val="Heading1"/>
      </w:pPr>
      <w:r>
        <w:t xml:space="preserve">ABOUT THE AUTHOR</w:t>
      </w:r>
    </w:p>
    <w:p>
      <w:pPr>
        <w:pStyle w:val="Heading2"/>
      </w:pPr>
      <w:r>
        <w:t xml:space="preserve">Amanda Gutiérrez</w:t>
      </w:r>
    </w:p>
    <w:p>
      <w:r>
        <w:t xml:space="preserve">Her research focuses on political listening and gender studies through soundwalking practices. Initially trained as a stage designer at the National School of Theater, she employs a range of digital media tools to investigate everyday aural agencies and collective identities. She completed her MFA in Media and Performance Studies at the School of the Art Institute of Chicago.</w:t>
      </w:r>
    </w:p>
    <w:p>
      <w:pPr>
        <w:pStyle w:val="Heading1"/>
      </w:pPr>
      <w:r>
        <w:t xml:space="preserve">COLOPHON</w:t>
      </w:r>
    </w:p>
    <w:p>
      <w:r>
        <w:t xml:space="preserve">Artist: Amanda Gutiérrez</w:t>
      </w:r>
    </w:p>
    <w:p>
      <w:r>
        <w:t xml:space="preserve">Photo: Alexis Bellavance, Matej Tomažin</w:t>
      </w:r>
    </w:p>
    <w:p>
      <w:r>
        <w:t xml:space="preserve">Coproduction: City of Women Festival.</w:t>
      </w:r>
    </w:p>
    <w:p>
      <w:r>
        <w:t xml:space="preserve">Financial support: Concordia University.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