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w:t>
      </w:r>
    </w:p>
    <w:p>
      <w:pPr>
        <w:pStyle w:val="Title"/>
      </w:pPr>
      <w:r>
        <w:t xml:space="preserve">Listening-with meadows</w:t>
      </w:r>
    </w:p>
    <w:p>
      <w:pPr>
        <w:pStyle w:val="Heading1"/>
      </w:pPr>
      <w:r>
        <w:t xml:space="preserve">WORK DESCRIPTION</w:t>
      </w:r>
    </w:p>
    <w:p>
      <w:r>
        <w:t xml:space="preserve">This deep listening experience enables a closer connection with the space and landscape, with the meadows that surround us. The walk directs attention to the sonic traces of wild nature persisting within the cultural landscape. It highlights an acoustic ecology shaped through the collaboration of nature and people. What can we hear when we listen to the meadows?</w:t>
      </w:r>
    </w:p>
    <w:p>
      <w:pPr>
        <w:pStyle w:val="Heading1"/>
      </w:pPr>
      <w:r>
        <w:t xml:space="preserve">ABOUT THE AUTHOR</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